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0"/>
        <w:pBdr/>
        <w:tabs>
          <w:tab w:val="clear" w:leader="none" w:pos="708"/>
          <w:tab w:val="left" w:leader="none" w:pos="4500"/>
        </w:tabs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-457200</wp:posOffset>
                </wp:positionV>
                <wp:extent cx="457200" cy="568960"/>
                <wp:effectExtent l="0" t="0" r="0" b="0"/>
                <wp:wrapNone/>
                <wp:docPr id="1" name="Рисунок 2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57200" cy="568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true;mso-position-horizontal-relative:text;margin-left:216.00pt;mso-position-horizontal:absolute;mso-position-vertical-relative:text;margin-top:-36.00pt;mso-position-vertical:absolute;width:36.00pt;height:44.80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/>
    </w:p>
    <w:p>
      <w:pPr>
        <w:pStyle w:val="731"/>
        <w:pBdr/>
        <w:spacing/>
        <w: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</w:r>
    </w:p>
    <w:p>
      <w:pPr>
        <w:pStyle w:val="731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КИРОВО-ЧЕПЕЦКАЯ ГОРОДСКАЯ  ДУМА</w:t>
      </w:r>
      <w:r>
        <w:rPr>
          <w:sz w:val="28"/>
          <w:szCs w:val="28"/>
        </w:rPr>
      </w:r>
    </w:p>
    <w:p>
      <w:pPr>
        <w:pStyle w:val="731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ШЕСТОГО СОЗЫВА </w:t>
      </w:r>
      <w:r>
        <w:rPr>
          <w:sz w:val="28"/>
          <w:szCs w:val="28"/>
        </w:rPr>
      </w:r>
    </w:p>
    <w:p>
      <w:pPr>
        <w:pStyle w:val="731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0"/>
        <w:pBdr/>
        <w:spacing/>
        <w: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РЕШЕНИЕ</w:t>
      </w:r>
      <w:r>
        <w:rPr>
          <w:rFonts w:ascii="Times New Roman" w:hAnsi="Times New Roman" w:cs="Times New Roman"/>
          <w:b/>
          <w:sz w:val="32"/>
          <w:szCs w:val="32"/>
        </w:rPr>
      </w:r>
    </w:p>
    <w:tbl>
      <w:tblPr>
        <w:tblW w:w="9570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92"/>
        <w:gridCol w:w="4777"/>
      </w:tblGrid>
      <w:tr>
        <w:trPr/>
        <w:tc>
          <w:tcPr>
            <w:tcBorders/>
            <w:tcW w:w="4792" w:type="dxa"/>
            <w:textDirection w:val="lrTb"/>
            <w:noWrap w:val="false"/>
          </w:tcPr>
          <w:p>
            <w:pPr>
              <w:pStyle w:val="660"/>
              <w:pBdr/>
              <w:tabs>
                <w:tab w:val="clear" w:leader="none" w:pos="708"/>
                <w:tab w:val="left" w:leader="none" w:pos="1665"/>
              </w:tabs>
              <w:spacing w:after="200" w:before="0"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4777" w:type="dxa"/>
            <w:textDirection w:val="lrTb"/>
            <w:noWrap w:val="false"/>
          </w:tcPr>
          <w:p>
            <w:pPr>
              <w:pStyle w:val="660"/>
              <w:pBdr/>
              <w:tabs>
                <w:tab w:val="clear" w:leader="none" w:pos="708"/>
                <w:tab w:val="left" w:leader="none" w:pos="2993"/>
              </w:tabs>
              <w:spacing w:after="200" w:before="0"/>
              <w: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660"/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Кирово-Чепецк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2"/>
        <w:widowControl w:val="true"/>
        <w:pBdr/>
        <w:spacing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 внесении и утверждении изменений в Программу комплексного развития транспортной  инфраструктуры муниципального образования «Город  Кирово-Чепецк» Кировской области на период до 2030 года</w:t>
      </w:r>
      <w:r>
        <w:rPr>
          <w:sz w:val="28"/>
          <w:szCs w:val="28"/>
        </w:rPr>
      </w:r>
    </w:p>
    <w:p>
      <w:pPr>
        <w:pStyle w:val="732"/>
        <w:widowControl w:val="true"/>
        <w:pBdr/>
        <w:spacing/>
        <w:ind w:firstLine="567"/>
        <w:rPr>
          <w:sz w:val="40"/>
          <w:szCs w:val="40"/>
        </w:rPr>
      </w:pPr>
      <w:r>
        <w:rPr>
          <w:sz w:val="40"/>
          <w:szCs w:val="40"/>
        </w:rPr>
      </w:r>
      <w:r>
        <w:rPr>
          <w:sz w:val="40"/>
          <w:szCs w:val="40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  Федеральным  з</w:t>
      </w:r>
      <w:r>
        <w:rPr>
          <w:rFonts w:ascii="Times New Roman" w:hAnsi="Times New Roman" w:cs="Times New Roman"/>
          <w:sz w:val="28"/>
          <w:szCs w:val="28"/>
        </w:rPr>
        <w:t xml:space="preserve">аконом  от  06.10.2003  № 131-ФЗ  «Об  общих  принципах  организации  местного  самоуправления  в  Российской  Федерации», Уставом муниципального образования городской округ «Город Кирово-Чепецк» Кировской области, Кирово-Чепецкая  городская  Дума  РЕШИЛА: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 утвердить в решение </w:t>
      </w:r>
      <w:r>
        <w:rPr>
          <w:rFonts w:ascii="Times New Roman" w:hAnsi="Times New Roman" w:cs="Times New Roman"/>
          <w:sz w:val="28"/>
          <w:szCs w:val="28"/>
        </w:rPr>
        <w:t xml:space="preserve">Кирово-Чепецкой городской </w:t>
      </w:r>
      <w:r>
        <w:rPr>
          <w:rFonts w:ascii="Times New Roman" w:hAnsi="Times New Roman" w:cs="Times New Roman"/>
          <w:sz w:val="28"/>
          <w:szCs w:val="28"/>
        </w:rPr>
        <w:t xml:space="preserve">Думы от 21.12.2016 № 5/21 «Об утверждении Программы комплексного развития  транспортной инфраструктуры муниципального образования «Город  Кирово-Чепецк» Кировской области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</w:t>
      </w:r>
      <w:r>
        <w:rPr>
          <w:rFonts w:ascii="Times New Roman" w:hAnsi="Times New Roman" w:cs="Times New Roman"/>
          <w:sz w:val="28"/>
          <w:szCs w:val="28"/>
        </w:rPr>
        <w:t xml:space="preserve">енными и утвержденными решениями Кирово-Чепецкой городской Думы Кировской области от 29.03.2017 № 4/16, от 30.08.2017 № 9/62, 28.02.2018 № 3/11, 25.04.2018 № 5/25, от 25.04.2019 № 4/24, от 27.05.2020 № 5/19, 25.11.2020 № 12/48, 29.05.2024 № 5/24) (далее - </w:t>
      </w:r>
      <w:r>
        <w:rPr>
          <w:rFonts w:ascii="Times New Roman" w:hAnsi="Times New Roman" w:cs="Times New Roman"/>
          <w:sz w:val="28"/>
          <w:szCs w:val="28"/>
        </w:rPr>
        <w:t xml:space="preserve">решение, </w:t>
      </w:r>
      <w:r>
        <w:rPr>
          <w:rFonts w:ascii="Times New Roman" w:hAnsi="Times New Roman" w:cs="Times New Roman"/>
          <w:sz w:val="28"/>
          <w:szCs w:val="28"/>
        </w:rPr>
        <w:t xml:space="preserve">Программа,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) следующие изменения: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 преамбуле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слова «Об утверждении требовани</w:t>
      </w:r>
      <w:r>
        <w:rPr>
          <w:rFonts w:ascii="Times New Roman" w:hAnsi="Times New Roman" w:cs="Times New Roman"/>
          <w:sz w:val="28"/>
          <w:szCs w:val="28"/>
        </w:rPr>
        <w:t xml:space="preserve">й к программам комплексного развития транспортной инфраструктуры поселений, городских округов» заменить словами «Об утверждении требований к программам комплексного развития транспортной инфраструктуры поселений, муниципальных округов, городских округов».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В паспорте Программы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строку «Цели Программы»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863"/>
        <w:tblW w:w="9354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49"/>
        <w:gridCol w:w="6304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Цели Программы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630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безопасность, качество и эффективность транспортно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го обслуживания населения, а также юридических лиц и индивидуальных предпринимателей, осуществляющих экономическую деятельность (далее - субъекты экономической деятельности), на территории муниципального образования «Город Кирово-Чепецк» Кировской области;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муниципального образования «Город Кирово-Чепецк» Кировской области;</w:t>
            </w:r>
            <w:r>
              <w:rPr>
                <w:sz w:val="22"/>
                <w:szCs w:val="22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(далее - транспортный спрос);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развитие транспортной инфраструктуры, сбалансированное с градостроительной деятельностью;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условия для управления транспортным спросом;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создание приоритетных условий движения транспортных средств общего пользования по отношению к иным транспортным средствам;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условия  для  движения  пешеходов, велосипедистов  и  лиц, использующих для передвижения средства индивидуальной мобильности;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60"/>
              <w:widowControl w:val="true"/>
              <w:pBdr/>
              <w:spacing w:after="0" w:before="0" w:line="276" w:lineRule="auto"/>
              <w:ind w:right="0" w:firstLine="0" w:left="0"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2"/>
                <w:lang w:val="ru-RU" w:eastAsia="ru-RU" w:bidi="ar-SA"/>
              </w:rPr>
              <w:t xml:space="preserve">эффективность функционирования действующей транспортной инфраструктуры</w:t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1.3. Абзац девятый подпункта 2.2.10 </w:t>
      </w:r>
      <w:r>
        <w:rPr>
          <w:rFonts w:ascii="Times New Roman" w:hAnsi="Times New Roman" w:cs="Times New Roman"/>
          <w:sz w:val="28"/>
          <w:szCs w:val="28"/>
        </w:rPr>
        <w:t xml:space="preserve">пункта 2.2 раздела 2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«Временный наплавной мост через реку Чепца до МКР Каринторф – понтонный мост. Грузы и пассажиры доставляются по узкоколейной железной дороге, принадлежащей автономной некоммерческой организации «Музей железной дороги» </w:t>
      </w:r>
      <w:r>
        <w:rPr>
          <w:rFonts w:ascii="Times New Roman" w:hAnsi="Times New Roman" w:cs="Times New Roman"/>
          <w:sz w:val="28"/>
          <w:szCs w:val="28"/>
        </w:rPr>
        <w:t xml:space="preserve">(далее - АНО «Музей железной дороги»)</w:t>
      </w:r>
      <w:r>
        <w:rPr>
          <w:rFonts w:ascii="Times New Roman" w:hAnsi="Times New Roman" w:cs="Times New Roman"/>
          <w:sz w:val="28"/>
          <w:szCs w:val="28"/>
        </w:rPr>
        <w:t xml:space="preserve">. Перевозка пассажиров узкоколейным железнодорожным транспортом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АНО «Музей железной дороги» </w:t>
      </w:r>
      <w:r>
        <w:rPr>
          <w:rFonts w:ascii="Times New Roman" w:hAnsi="Times New Roman" w:cs="Times New Roman"/>
          <w:sz w:val="28"/>
          <w:szCs w:val="28"/>
        </w:rPr>
        <w:t xml:space="preserve">6 раз в день. Пассажиропоток в год составляет 166,2 тыс. человек.».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абзаце десятом подпункта 2.2.10 </w:t>
      </w:r>
      <w:r>
        <w:rPr>
          <w:rFonts w:ascii="Times New Roman" w:hAnsi="Times New Roman" w:cs="Times New Roman"/>
          <w:sz w:val="28"/>
          <w:szCs w:val="28"/>
        </w:rPr>
        <w:t xml:space="preserve">пункта 2.2 раздела 2</w:t>
      </w:r>
      <w:r>
        <w:rPr>
          <w:rFonts w:ascii="Times New Roman" w:hAnsi="Times New Roman" w:cs="Times New Roman"/>
          <w:sz w:val="28"/>
          <w:szCs w:val="28"/>
        </w:rPr>
        <w:t xml:space="preserve"> слова «402,2 метра» заменить словами «410,4 метра».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подпункте 2.2.10 пункта 2.2 раздела 2 Таблицу № 10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/>
        <w:ind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«Таблица 10. Состояние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мостов (путепроводов)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34"/>
        <w:pBdr/>
        <w:spacing/>
        <w:ind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tbl>
      <w:tblPr>
        <w:tblW w:w="9793" w:type="dxa"/>
        <w:tblInd w:w="96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8"/>
        <w:gridCol w:w="1560"/>
        <w:gridCol w:w="992"/>
        <w:gridCol w:w="2693"/>
        <w:gridCol w:w="1134"/>
        <w:gridCol w:w="1559"/>
        <w:gridCol w:w="1276"/>
      </w:tblGrid>
      <w:tr>
        <w:trPr>
          <w:trHeight w:val="6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 сооружения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Препятствие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Местоположение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конструкции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Техническое состояние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узкоколейная железная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автомобильная дорога от ул. Ленина до просп. Мира (включая ул. 60 лет Октября и ул. Братьев Васнецовых)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железная дорога стандартной колеи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автомобильная дорога от поста ГИБДД до ул. Ленина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км 1+814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узкоколейная железная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автомобильная дорога от поста ГИБДД до ул. Ленина на км 1+992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узкоколейная железная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автомобильная дорога по ул. Заводской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узкоколейная железная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автомобильная дорога по ул. Большевиков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по ул. Вятская Набережная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0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Елховка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автомобильная дорога от поста ГИБДД до ул. Ленина на км 2+110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Елховка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от ВПЧ-1 до поста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Елховка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на Комариху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Елховка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а/д вдоль ЗМУ до моста через р.Елховку у нефтебазы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66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Временный наплавной 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река Чепца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через р. Чепца на а/д Кирово-Чепецк – Каринторф в Кирово-Чепецком районе 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Кировской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 дерево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402"/>
        </w:trPr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2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в том числе: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410,4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rPr>
          <w:trHeight w:val="360"/>
        </w:trPr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tcW w:w="582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 w:firstLine="6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путепроводов: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143,5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rPr>
          <w:trHeight w:val="375"/>
        </w:trPr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8" w:space="0"/>
              <w:bottom w:val="single" w:color="000000" w:sz="8" w:space="0"/>
            </w:tcBorders>
            <w:tcW w:w="5823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 w:firstLine="6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мостов: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266,9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60"/>
              <w:pBdr/>
              <w:spacing w:after="0" w:before="0" w:line="240" w:lineRule="auto"/>
              <w: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pStyle w:val="734"/>
        <w:pBdr/>
        <w:spacing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.6. Абзац одиннадцатый </w:t>
      </w:r>
      <w:r>
        <w:rPr>
          <w:rFonts w:ascii="Times New Roman" w:hAnsi="Times New Roman" w:cs="Times New Roman"/>
          <w:sz w:val="28"/>
          <w:szCs w:val="28"/>
        </w:rPr>
        <w:t xml:space="preserve">подпункта 2.2.10 </w:t>
      </w:r>
      <w:r>
        <w:rPr>
          <w:rFonts w:ascii="Times New Roman" w:hAnsi="Times New Roman" w:cs="Times New Roman"/>
          <w:sz w:val="28"/>
          <w:szCs w:val="28"/>
        </w:rPr>
        <w:t xml:space="preserve">пункта 2.2 раздела 2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/>
      </w:pPr>
      <w:r>
        <w:rPr>
          <w:rFonts w:ascii="Times New Roman" w:hAnsi="Times New Roman" w:cs="Times New Roman"/>
          <w:sz w:val="28"/>
          <w:szCs w:val="28"/>
        </w:rPr>
        <w:t xml:space="preserve">«Перевозку   пассажиров   и   багажа   транспортом   общего   пользования ос</w:t>
      </w:r>
      <w:r>
        <w:rPr>
          <w:rFonts w:ascii="Times New Roman" w:hAnsi="Times New Roman" w:cs="Times New Roman"/>
          <w:sz w:val="28"/>
          <w:szCs w:val="28"/>
        </w:rPr>
        <w:t xml:space="preserve">уществляют 2 автотранспортных предприятия  различных организационно-правовых форм. Обслуживаемая маршрутная сеть включает 11 городских маршрутов.   Одновременно   на   всех   маршрутах   задействовано   62   единицы транспортных средств различных марок.». </w:t>
      </w:r>
      <w:r/>
    </w:p>
    <w:p>
      <w:pPr>
        <w:pStyle w:val="734"/>
        <w:pBdr/>
        <w:spacing w:after="0" w:afterAutospacing="0" w:before="0" w:beforeAutospacing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Абзац двенадцатый пункта 2.3 раздела 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следующей редакции: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34"/>
        <w:pBdr/>
        <w:spacing w:after="0" w:afterAutospacing="0" w:before="0" w:beforeAutospacing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«Непосредственно   к   станции   Чепецкая   примыкают   подъездные пути промышленного узла   города   Кирово-Чепецк,   состоящего   из  следующих предприятий: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филиал «КЧХК» АО «ОХК «УРАЛХИМ» в городе Кирово-Чепецке;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  с   ограниченной   ответственностью   «ГалоПолимер   Кирово-Чепецк»;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«Кирово-Чепецкий завод «АГРОХИМИКАТ»;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«Кировская теплоэлектроцентраль - 3» филиал Кировский публичного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акционерного общества «Т Плюс»;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производственно-коммерческое предприятие «МИТО»;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«МТД»;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«СПЕЦХИМАГРО»;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«Производственная компания МИЛЕСТА»;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«Вяткаплитпром»;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«МЦ5 ГРУПП»;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закрытое акционерное общество производственное объединение «Ресурс»;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«Первый фторопластовый завод».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«СИГМА»;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научно-производственная компания «СТАЛАФЛОН»;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660"/>
        <w:pBdr/>
        <w:shd w:val="clear" w:color="ffffff" w:fill="ffffff"/>
        <w:spacing w:after="0" w:afterAutospacing="0" w:before="0" w:beforeAutospacing="0" w:line="360" w:lineRule="auto"/>
        <w:ind w:right="0" w:firstLine="0"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- общество с ограниченной ответственностью «Специальное конструкторское бюро медицинской тематики».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34"/>
        <w:pBdr/>
        <w:spacing w:after="0" w:afterAutospacing="0" w:before="0" w:before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1.8.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Абзац четырнадцатый пункта 2.4 раздела 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«Не выделяются средства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оценки технического состояния автомобильных дорог. В соответствии с Приказом Министерства транспорта РФ от 7 августа 2020 № 288 «О порядке проведения оценки технического состояния автомобильных дорог» такая оценка должна проводится ежегодно.».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pStyle w:val="734"/>
        <w:pBdr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1.9. Абзац первый пункта 2.6 раздела 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pStyle w:val="734"/>
        <w:pBdr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«В настоящее время перевозку пассажиров и багажа транспортом общего пользования осуществляют общество с ограниченной ответственностью «Новотранс-4» и индивидуальный предприниматель Борисова В.Н.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на основании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муни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ципальны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.».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pStyle w:val="734"/>
        <w:pBdr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1.10. В абзаце втором пункта 2.6 раздела 2 слова «16 муниципальных маршрутов» заменить словами «</w:t>
      </w:r>
      <w:r>
        <w:rPr>
          <w:rFonts w:ascii="Times New Roman" w:hAnsi="Times New Roman" w:cs="Times New Roman"/>
          <w:sz w:val="28"/>
          <w:szCs w:val="28"/>
        </w:rPr>
        <w:t xml:space="preserve">11 городских маршрутов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pStyle w:val="734"/>
        <w:pBdr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ab/>
        <w:t xml:space="preserve"> 1.11. Наименование пункта 2.7 раздела 2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изложи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ть 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следующе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734"/>
        <w:pBdr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«2.7. Характеристика условий пешеходного и велосипедного передвижения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лиц, использующих для передвижения средства индивидуальной мобильности.».</w:t>
      </w:r>
      <w:r>
        <w:rPr>
          <w:rFonts w:ascii="Times New Roman" w:hAnsi="Times New Roman" w:cs="Times New Roman"/>
          <w:sz w:val="28"/>
          <w:szCs w:val="28"/>
          <w:highlight w:val="yellow"/>
          <w:lang w:val="ru-RU"/>
        </w:rPr>
      </w:r>
    </w:p>
    <w:p>
      <w:pPr>
        <w:pStyle w:val="734"/>
        <w:pBdr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1.12. Абзац первый подпункта 4 пункта 2.11 раздела 2 изложить в следующей редакции: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На территории муниципального образования расположено 7 мостов и 4 путепровода.».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1.13. Подпункт «Улично – дорожная сеть» в пункте 2.11 раздела 2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«Улично-дорожная сеть.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от ул. Ленина до ул. Заводской;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Реконструкция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автомобильной дороги по ул. Революции (от ул. Заводской до ул. Чепецкой)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переводом в автомобильную дорогу с параметрами магистральной улицы районного значения;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Строительство автомобильной дороги по параметрам магистральной улицы общегородского значения,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западнее микрорайона №8 (от ул. 60 лет Октября до ул. Юбилейной)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Строительство новой автомобильной дороги по параметрам магистральной улицы районного значения вдоль микрорайонов №13, №14, №15 для пропуска грузового движения не по территории жилой застройки;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Строительство автомобильных дорог в новых проектных жилых районах. Новые жилые районы располагаются в микрорайонах №10, №13, №14, №15; №23;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Реконструкция автомобильных дорог, находящихся в муниципальной  собственности  муниципального образования «Город  Кирово-Чепецк» Кировской области.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Месторасположение:</w:t>
      </w:r>
      <w:r>
        <w:rPr>
          <w:rFonts w:ascii="Times New Roman" w:hAnsi="Times New Roman"/>
          <w:sz w:val="28"/>
          <w:szCs w:val="28"/>
        </w:rPr>
      </w:r>
    </w:p>
    <w:p>
      <w:pPr>
        <w:pStyle w:val="660"/>
        <w:pBdr/>
        <w:spacing w:after="0" w:before="0" w:line="360" w:lineRule="auto"/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автомобильная дорога от поста ГИБДД до ул. Ленина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60"/>
        <w:pBdr/>
        <w:spacing w:after="0" w:before="0" w:line="360" w:lineRule="auto"/>
        <w:ind w:firstLine="56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автомобильная дорога от ул. Ленина до просп. Мира (включая ул. 60 лет Октября и ул. Братьев Васнецовых);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автомобильная дорога к микрорайону Каринторф;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по просп. Мира (участок от ул. Островского до ул. Первомайской);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по просп. Кирова (участок от ул. Островского до ул. Первомайской);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к городскому кладбищу от ул. Юбилейная до кладбища Злобино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10. Организация регулируемых и саморегулируемых перекрестков на основных автомобильных дорогах.».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1.14. Подпункт 7 пункта 2.12 раздела 2 изложить в следующей редакции: 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« 7. Постановление   Правительства   РФ   от   25.12.2015   №   1440   «Об</w:t>
      </w:r>
      <w:r/>
    </w:p>
    <w:p>
      <w:pPr>
        <w:pStyle w:val="734"/>
        <w:pBdr/>
        <w:spacing w:line="360" w:lineRule="auto"/>
        <w:ind w:firstLine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утверждении требований к программам комплексного развития транспортной</w:t>
      </w:r>
      <w:r/>
    </w:p>
    <w:p>
      <w:pPr>
        <w:pStyle w:val="734"/>
        <w:pBdr/>
        <w:spacing w:line="360" w:lineRule="auto"/>
        <w:ind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инфраструктуры поселений, муниципальных округов, городских округов.».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1.15. Абзац пятнадцатый пункта 2.12 раздела 2 изложить в следующей редакции: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/>
      </w:pPr>
      <w:r>
        <w:rPr>
          <w:rFonts w:ascii="Times New Roman" w:hAnsi="Times New Roman"/>
          <w:sz w:val="28"/>
          <w:szCs w:val="28"/>
        </w:rPr>
        <w:t xml:space="preserve">«В  соответствии   с пунктом 27  статьи  1 Градостроительного   кодекса Российской   Федерации   программа комплексного развития транспортной инфраструктуры поселени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, муниципальн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городск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  - это   документ,   устанавливающ</w:t>
      </w:r>
      <w:r>
        <w:rPr>
          <w:rFonts w:ascii="Times New Roman" w:hAnsi="Times New Roman"/>
          <w:sz w:val="28"/>
          <w:szCs w:val="28"/>
        </w:rPr>
        <w:t xml:space="preserve">ий   перечни   мероприятий   по проектированию,   строительству,   реконструкции   объектов   транспортной инфраструктуры местного значения поселения, муниципального округа, городского округа, которые предусмотрены также государственными и муниципальными п</w:t>
      </w:r>
      <w:r>
        <w:rPr>
          <w:rFonts w:ascii="Times New Roman" w:hAnsi="Times New Roman"/>
          <w:sz w:val="28"/>
          <w:szCs w:val="28"/>
        </w:rPr>
        <w:t xml:space="preserve">рограммами, стратегией   социально-экономического   развития   муниципального образования   и   планом   мероприятий   по   реализации   стратегии   социально - экономического развития муниципального образования (при наличии данных стратегии   и   плана), </w:t>
      </w:r>
      <w:r>
        <w:rPr>
          <w:rFonts w:ascii="Times New Roman" w:hAnsi="Times New Roman"/>
          <w:sz w:val="28"/>
          <w:szCs w:val="28"/>
        </w:rPr>
        <w:t xml:space="preserve">инвестиционными программами субъектов естественных монополий в области транспорта</w:t>
      </w:r>
      <w:r>
        <w:rPr>
          <w:rFonts w:ascii="Times New Roman" w:hAnsi="Times New Roman"/>
          <w:sz w:val="28"/>
          <w:szCs w:val="28"/>
        </w:rPr>
        <w:t xml:space="preserve">.».</w:t>
      </w:r>
      <w:r/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1.16. Абзац </w:t>
      </w:r>
      <w:r>
        <w:rPr>
          <w:rFonts w:ascii="Times New Roman" w:hAnsi="Times New Roman"/>
          <w:sz w:val="28"/>
          <w:szCs w:val="28"/>
        </w:rPr>
        <w:t xml:space="preserve">шес</w:t>
      </w:r>
      <w:r>
        <w:rPr>
          <w:rFonts w:ascii="Times New Roman" w:hAnsi="Times New Roman"/>
          <w:sz w:val="28"/>
          <w:szCs w:val="28"/>
        </w:rPr>
        <w:t xml:space="preserve">тнадцатый пункта 2.12 раздела 2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Программы комплексного развития транспортной инфраструктуры поселения, муниципального округа, городского округа до</w:t>
      </w:r>
      <w:r>
        <w:rPr>
          <w:rFonts w:ascii="Times New Roman" w:hAnsi="Times New Roman"/>
          <w:sz w:val="28"/>
          <w:szCs w:val="28"/>
        </w:rPr>
        <w:t xml:space="preserve">лжны обеспечивать сбалансированное, перспективное развитие транспортной инфраструктуры поселения, муниципального округа, городского округа в соответствии с потребностями в строительстве, реконструкции объектов транспортной инфраструктуры местного значения.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1.17.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разделе 4 Таблицу № 16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660"/>
        <w:pBdr/>
        <w:spacing w:line="360" w:lineRule="auto"/>
        <w:ind w:right="0" w:firstLine="0" w:left="0"/>
        <w:jc w:val="center"/>
        <w:rPr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«Таблица 16 - Показатели вариантов развития транспортной инфраструктуры к 2030 году</w:t>
      </w:r>
      <w:r>
        <w:rPr>
          <w:b w:val="0"/>
          <w:bCs w:val="0"/>
          <w:sz w:val="24"/>
          <w:szCs w:val="24"/>
        </w:rPr>
      </w:r>
    </w:p>
    <w:tbl>
      <w:tblPr>
        <w:tblStyle w:val="863"/>
        <w:tblW w:w="8890" w:type="dxa"/>
        <w:tblInd w:w="-176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1"/>
        <w:gridCol w:w="1794"/>
        <w:gridCol w:w="892"/>
        <w:gridCol w:w="1423"/>
        <w:gridCol w:w="1410"/>
        <w:gridCol w:w="1230"/>
        <w:gridCol w:w="1949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Показатель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Ед. измерения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23" w:type="dxa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Базовый уровень развития транспортной инфраструктуры (2016 год)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458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Варианты развития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4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892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23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Оптимистичный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Реалистичный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Пессимистичный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Доля автомобильных дорог находящаяся в нормативном состоянии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%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47,3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87,0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86,0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85,0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Общая протяженность автомобильных дорог (нарастающим итогом)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км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94,8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150,0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147,4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140,0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Количество мест концентрации дорожно-транспортных происшествий на дорожной сети в год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ед.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Количество реконструированных и капитально отремонтированных путепроводов (мостов)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ед.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Протяженность вновь построенных тротуаров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км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7,8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5,1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Количество рейсов регулярных перевозок, осуществленных с опозданием свыше двух минут, не превышает 15% от общего количества рейсов маршрутов регулярных перевозок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да/нет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нет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нет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1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94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Количество дорожно-транспортных происшествий с участием пассажирского автомобильного транспорта произошедших по вине водителя данного транспортного средства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9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ед.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49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1.1</w:t>
      </w:r>
      <w:r>
        <w:rPr>
          <w:rFonts w:ascii="Times New Roman" w:hAnsi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/>
          <w:sz w:val="28"/>
          <w:szCs w:val="28"/>
          <w:highlight w:val="white"/>
        </w:rPr>
        <w:t xml:space="preserve">. Подпункт 2 пункта 5.4 </w:t>
      </w:r>
      <w:r>
        <w:rPr>
          <w:rFonts w:ascii="Times New Roman" w:hAnsi="Times New Roman"/>
          <w:sz w:val="28"/>
          <w:szCs w:val="28"/>
          <w:highlight w:val="white"/>
        </w:rPr>
        <w:t xml:space="preserve">раздела 5 </w:t>
      </w:r>
      <w:r>
        <w:rPr>
          <w:rFonts w:ascii="Times New Roman" w:hAnsi="Times New Roman"/>
          <w:sz w:val="28"/>
          <w:szCs w:val="28"/>
          <w:highlight w:val="white"/>
        </w:rPr>
        <w:t xml:space="preserve">раздела исключить. 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Пункт 5.5 раздела 5 изложить в следующей редакции: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«5.5. Мероприятия по развитию инфраструктуры для грузового транспорта, транспортных средств коммунальных и дорожных служб.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действия Программы предлагается реализовать следующий комплекс мероприятий по развитию инфраструктуры для грузового транспорта, транспортных средств коммунальных и дорожных служб: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Реконструкция автомобильных дорог, находящихся в муниципальной  собственности  муниципального образования «Город  Кирово-Чепецк» Кировской области.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Месторасположение:</w:t>
      </w:r>
      <w:r>
        <w:rPr>
          <w:rFonts w:ascii="Times New Roman" w:hAnsi="Times New Roman"/>
          <w:sz w:val="28"/>
          <w:szCs w:val="28"/>
        </w:rPr>
      </w:r>
    </w:p>
    <w:p>
      <w:pPr>
        <w:pStyle w:val="660"/>
        <w:pBdr/>
        <w:spacing w:after="0" w:before="0" w:line="360" w:lineRule="auto"/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автомобильная дорога от поста ГИБДД до ул. Ленина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60"/>
        <w:pBdr/>
        <w:spacing w:after="0" w:before="0" w:line="360" w:lineRule="auto"/>
        <w:ind w:firstLine="56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автомобильная дорога от ул. Ленина до просп. Мира (включая ул. 60 лет Октября и ул. Братьев Васнецовых);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660"/>
        <w:pBdr/>
        <w:spacing w:after="0" w:before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автомобильная дорога к микрорайону Каринторф.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Проектирование и строительство автомобильной дороги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западнее микрорайона №8 (от ул. 60 лет Октября до ул. Юбилейной)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Проектирование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к городскому кладбищу от ул. Юбилейная до кладбища Злобино.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».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. Пункт 5.6 раздела 5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«5.6. Мероприятия по развитию сети дорог муниципального образования.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действия Программы предлагается реализовать следующий комплекс мероприятий по развитию сети дорог:</w:t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Проектирование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строительство автомобильных дорог в микрорайонах № 10, 13, 14, 15, 23.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Реконструкция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автомобильной дороги по ул. Революции (от ул. Заводской до ул. Чепецкой)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по просп. Мира (участок от ул. Островского до ул. Первомайской)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реконструкция автомобильной дороги по просп. Кирова (участок от ул. Островского до ул. Первомайской).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3. Проектирование и строительство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от ул. Ленина до ул. Заводской.».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21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разделе 7 Таблицу № 17 изложить в следующей редакции: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660"/>
        <w:pBdr/>
        <w:spacing/>
        <w:ind w:right="0" w:firstLine="567" w:left="0"/>
        <w:jc w:val="both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</w:rPr>
        <w:t xml:space="preserve">«Таблица 17 - Целевые показатели (индикаторы) развития транспортной инфраструктуры</w:t>
      </w:r>
      <w:r>
        <w:rPr>
          <w:b w:val="0"/>
          <w:bCs w:val="0"/>
        </w:rPr>
      </w:r>
    </w:p>
    <w:tbl>
      <w:tblPr>
        <w:tblStyle w:val="863"/>
        <w:tblW w:w="10363" w:type="dxa"/>
        <w:tblInd w:w="-619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7"/>
        <w:gridCol w:w="1372"/>
        <w:gridCol w:w="616"/>
        <w:gridCol w:w="567"/>
        <w:gridCol w:w="582"/>
        <w:gridCol w:w="550"/>
        <w:gridCol w:w="567"/>
        <w:gridCol w:w="620"/>
        <w:gridCol w:w="565"/>
        <w:gridCol w:w="567"/>
        <w:gridCol w:w="567"/>
        <w:gridCol w:w="567"/>
        <w:gridCol w:w="567"/>
        <w:gridCol w:w="568"/>
        <w:gridCol w:w="567"/>
        <w:gridCol w:w="567"/>
        <w:gridCol w:w="567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372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Показатель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vMerge w:val="restart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Ед. измерения</w:t>
            </w:r>
            <w:r>
              <w:rPr>
                <w:sz w:val="16"/>
                <w:szCs w:val="16"/>
              </w:rPr>
            </w:r>
          </w:p>
        </w:tc>
        <w:tc>
          <w:tcPr>
            <w:gridSpan w:val="14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798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Показатели по годам</w:t>
            </w: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372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616" w:type="dxa"/>
            <w:vMerge w:val="continue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/>
              <w:jc w:val="left"/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ru-RU" w:bidi="ar-SA"/>
              </w:rPr>
            </w:r>
            <w:r>
              <w:rPr>
                <w:rFonts w:ascii="Calibri" w:hAnsi="Calibri" w:eastAsia="Arial" w:cs="Arial"/>
                <w:sz w:val="22"/>
                <w:szCs w:val="22"/>
                <w:lang w:val="ru-RU" w:eastAsia="ru-RU" w:bidi="ar-SA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2017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2018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2019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2025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2027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2028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2029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2030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Доля автомобильных дорог находящихся в нормативном состоянии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%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50,0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51,0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52,0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52,5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66,4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73,8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68,9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68,9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86,2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85,7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85,7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85,7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87,0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Общая протяженность автомобильных дорог (нарастающим итогом)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км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94,3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130,3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130,3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133,3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133,3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133,3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135,4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135,4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135,4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135,4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lang w:val="ru-RU" w:eastAsia="ru-RU" w:bidi="ar-SA"/>
              </w:rPr>
              <w:t xml:space="preserve">135,4</w:t>
            </w:r>
            <w:r>
              <w:rPr>
                <w:rFonts w:ascii="Times New Roman" w:hAnsi="Times New Roman" w:cs="Times New Roman"/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143,8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143,8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147,4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Снижение количества мест концентрации дорожно-транспортных происшествий в год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ед.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Количество реконструированных и капитально отремонтированных путепроводов (мостов)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ед.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Протяженность вновь построенных тротуаров (нарастающим итогом)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км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0,6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3,9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6,5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Количество рейсов регулярных перевозок, осуществленных с опозданием свыше двух минут, не превышает 15% от общего количества рейсов маршрутов регулярных перевозок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да/</w:t>
              <w:br/>
              <w:t xml:space="preserve">нет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нет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нет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нет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нет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нет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да</w:t>
            </w:r>
            <w:r>
              <w:rPr>
                <w:sz w:val="14"/>
                <w:szCs w:val="14"/>
              </w:rPr>
            </w:r>
          </w:p>
        </w:tc>
      </w:tr>
      <w:tr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372" w:type="dxa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left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Количество дорожно-транспортных происшествий с участием пассажирского автомобильного транспорта произошедших по вине водителя данного транспортного средства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ru-RU" w:eastAsia="ru-RU" w:bidi="ar-SA"/>
              </w:rPr>
              <w:t xml:space="preserve">ед.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3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2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60"/>
              <w:widowControl w:val="true"/>
              <w:pBdr/>
              <w:spacing w:after="200" w:before="0"/>
              <w:ind w:right="0" w:firstLine="0" w:left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val="ru-RU" w:eastAsia="ru-RU" w:bidi="ar-SA"/>
              </w:rPr>
              <w:t xml:space="preserve">1</w:t>
            </w:r>
            <w:r>
              <w:rPr>
                <w:sz w:val="14"/>
                <w:szCs w:val="14"/>
              </w:rPr>
            </w:r>
          </w:p>
        </w:tc>
      </w:tr>
    </w:tbl>
    <w:p>
      <w:pPr>
        <w:pStyle w:val="734"/>
        <w:pBdr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Приложение 2 к Программе изложить в новой редакции. Прилагается.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734"/>
        <w:pBdr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 Настоящее  решение  вступает  в  силу  после  его  официального  опубликования.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60"/>
        <w:pBdr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pBdr/>
        <w:spacing w:after="0" w:before="0" w:line="24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муниципального  образования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pBdr/>
        <w:spacing w:after="0" w:before="0" w:line="24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 Кирово-Чепецк»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pBdr/>
        <w:spacing w:after="0" w:before="0" w:line="24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                                                                         С.В. Завьялов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1" w:bottom="1134" w:left="1701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2030504020204"/>
  </w:font>
  <w:font w:name="Liberation Sans">
    <w:panose1 w:val="020B0604020202020204"/>
  </w:font>
  <w:font w:name="Segoe UI">
    <w:panose1 w:val="020B0502040204020203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 w:default="1">
    <w:name w:val="Normal"/>
    <w:qFormat/>
    <w:pPr>
      <w:widowControl w:val="true"/>
      <w:pBdr/>
      <w:bidi w:val="false"/>
      <w:spacing w:after="200" w:before="0" w:line="276" w:lineRule="auto"/>
      <w:ind/>
      <w:jc w:val="left"/>
    </w:pPr>
    <w:rPr>
      <w:rFonts w:ascii="Calibri" w:hAnsi="Calibri" w:eastAsia="Arial" w:cs="Arial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661">
    <w:name w:val="Heading 1"/>
    <w:basedOn w:val="660"/>
    <w:next w:val="660"/>
    <w:link w:val="67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662">
    <w:name w:val="Heading 2"/>
    <w:basedOn w:val="660"/>
    <w:next w:val="660"/>
    <w:link w:val="67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663">
    <w:name w:val="Heading 3"/>
    <w:basedOn w:val="660"/>
    <w:next w:val="660"/>
    <w:link w:val="67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664">
    <w:name w:val="Heading 4"/>
    <w:basedOn w:val="660"/>
    <w:next w:val="660"/>
    <w:link w:val="67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665">
    <w:name w:val="Heading 5"/>
    <w:basedOn w:val="660"/>
    <w:next w:val="660"/>
    <w:link w:val="67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666">
    <w:name w:val="Heading 6"/>
    <w:basedOn w:val="660"/>
    <w:next w:val="660"/>
    <w:link w:val="67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667">
    <w:name w:val="Heading 7"/>
    <w:basedOn w:val="660"/>
    <w:next w:val="660"/>
    <w:link w:val="67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668">
    <w:name w:val="Heading 8"/>
    <w:basedOn w:val="660"/>
    <w:next w:val="660"/>
    <w:link w:val="677"/>
    <w:uiPriority w:val="9"/>
    <w:unhideWhenUsed/>
    <w:qFormat/>
    <w:pPr>
      <w:keepNext w:val="true"/>
      <w:keepLines w:val="true"/>
      <w:pBdr/>
      <w:spacing w:after="0" w:before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669">
    <w:name w:val="Heading 9"/>
    <w:basedOn w:val="660"/>
    <w:next w:val="660"/>
    <w:link w:val="678"/>
    <w:uiPriority w:val="9"/>
    <w:unhideWhenUsed/>
    <w:qFormat/>
    <w:pPr>
      <w:keepNext w:val="true"/>
      <w:keepLines w:val="true"/>
      <w:pBdr/>
      <w:spacing w:after="0" w:before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670">
    <w:name w:val="Heading 1 Char"/>
    <w:basedOn w:val="700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671">
    <w:name w:val="Heading 2 Char"/>
    <w:basedOn w:val="700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672">
    <w:name w:val="Heading 3 Char"/>
    <w:basedOn w:val="700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673">
    <w:name w:val="Heading 4 Char"/>
    <w:basedOn w:val="700"/>
    <w:uiPriority w:val="9"/>
    <w:qFormat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674">
    <w:name w:val="Heading 5 Char"/>
    <w:basedOn w:val="700"/>
    <w:uiPriority w:val="9"/>
    <w:qFormat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675">
    <w:name w:val="Heading 6 Char"/>
    <w:basedOn w:val="700"/>
    <w:uiPriority w:val="9"/>
    <w:qFormat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676">
    <w:name w:val="Heading 7 Char"/>
    <w:basedOn w:val="700"/>
    <w:uiPriority w:val="9"/>
    <w:qFormat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677">
    <w:name w:val="Heading 8 Char"/>
    <w:basedOn w:val="700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678">
    <w:name w:val="Heading 9 Char"/>
    <w:basedOn w:val="700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679">
    <w:name w:val="Title Char"/>
    <w:basedOn w:val="700"/>
    <w:uiPriority w:val="10"/>
    <w:qFormat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680">
    <w:name w:val="Subtitle Char"/>
    <w:basedOn w:val="700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681">
    <w:name w:val="Quote Char"/>
    <w:basedOn w:val="700"/>
    <w:link w:val="710"/>
    <w:uiPriority w:val="29"/>
    <w:qFormat/>
    <w:pPr>
      <w:pBdr/>
      <w:spacing/>
      <w:ind/>
    </w:pPr>
    <w:rPr>
      <w:i/>
      <w:iCs/>
      <w:color w:val="404040" w:themeColor="text1" w:themeTint="BF"/>
    </w:rPr>
  </w:style>
  <w:style w:type="character" w:styleId="682">
    <w:name w:val="Intense Emphasis"/>
    <w:basedOn w:val="70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83">
    <w:name w:val="Intense Quote Char"/>
    <w:basedOn w:val="700"/>
    <w:link w:val="712"/>
    <w:uiPriority w:val="30"/>
    <w:qFormat/>
    <w:pPr>
      <w:pBdr/>
      <w:spacing/>
      <w:ind/>
    </w:pPr>
    <w:rPr>
      <w:i/>
      <w:iCs/>
      <w:color w:val="0f4761" w:themeColor="accent1" w:themeShade="BF"/>
    </w:rPr>
  </w:style>
  <w:style w:type="character" w:styleId="684">
    <w:name w:val="Intense Reference"/>
    <w:basedOn w:val="70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85">
    <w:name w:val="Subtle Emphasis"/>
    <w:basedOn w:val="70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86">
    <w:name w:val="Emphasis"/>
    <w:basedOn w:val="700"/>
    <w:uiPriority w:val="20"/>
    <w:qFormat/>
    <w:pPr>
      <w:pBdr/>
      <w:spacing/>
      <w:ind/>
    </w:pPr>
    <w:rPr>
      <w:i/>
      <w:iCs/>
    </w:rPr>
  </w:style>
  <w:style w:type="character" w:styleId="687">
    <w:name w:val="Strong"/>
    <w:basedOn w:val="700"/>
    <w:uiPriority w:val="22"/>
    <w:qFormat/>
    <w:pPr>
      <w:pBdr/>
      <w:spacing/>
      <w:ind/>
    </w:pPr>
    <w:rPr>
      <w:b/>
      <w:bCs/>
    </w:rPr>
  </w:style>
  <w:style w:type="character" w:styleId="688">
    <w:name w:val="Subtle Reference"/>
    <w:basedOn w:val="70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89">
    <w:name w:val="Book Title"/>
    <w:basedOn w:val="70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90">
    <w:name w:val="Header Char"/>
    <w:basedOn w:val="700"/>
    <w:uiPriority w:val="99"/>
    <w:qFormat/>
    <w:pPr>
      <w:pBdr/>
      <w:spacing/>
      <w:ind/>
    </w:pPr>
  </w:style>
  <w:style w:type="character" w:styleId="691">
    <w:name w:val="Footer Char"/>
    <w:basedOn w:val="700"/>
    <w:uiPriority w:val="99"/>
    <w:qFormat/>
    <w:pPr>
      <w:pBdr/>
      <w:spacing/>
      <w:ind/>
    </w:pPr>
  </w:style>
  <w:style w:type="character" w:styleId="692">
    <w:name w:val="Footnote Text Char"/>
    <w:basedOn w:val="700"/>
    <w:uiPriority w:val="99"/>
    <w:semiHidden/>
    <w:qFormat/>
    <w:pPr>
      <w:pBdr/>
      <w:spacing/>
      <w:ind/>
    </w:pPr>
    <w:rPr>
      <w:sz w:val="20"/>
      <w:szCs w:val="20"/>
    </w:rPr>
  </w:style>
  <w:style w:type="character" w:styleId="693">
    <w:name w:val="Символ сноски"/>
    <w:basedOn w:val="700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694">
    <w:name w:val="footnote reference"/>
    <w:pPr>
      <w:pBdr/>
      <w:spacing/>
      <w:ind/>
    </w:pPr>
    <w:rPr>
      <w:vertAlign w:val="superscript"/>
    </w:rPr>
  </w:style>
  <w:style w:type="character" w:styleId="695">
    <w:name w:val="Endnote Text Char"/>
    <w:basedOn w:val="700"/>
    <w:uiPriority w:val="99"/>
    <w:semiHidden/>
    <w:qFormat/>
    <w:pPr>
      <w:pBdr/>
      <w:spacing/>
      <w:ind/>
    </w:pPr>
    <w:rPr>
      <w:sz w:val="20"/>
      <w:szCs w:val="20"/>
    </w:rPr>
  </w:style>
  <w:style w:type="character" w:styleId="696">
    <w:name w:val="Символ концевой сноски"/>
    <w:basedOn w:val="700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697">
    <w:name w:val="endnote reference"/>
    <w:pPr>
      <w:pBdr/>
      <w:spacing/>
      <w:ind/>
    </w:pPr>
    <w:rPr>
      <w:vertAlign w:val="superscript"/>
    </w:rPr>
  </w:style>
  <w:style w:type="character" w:styleId="698">
    <w:name w:val="Hyperlink"/>
    <w:basedOn w:val="70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699">
    <w:name w:val="FollowedHyperlink"/>
    <w:basedOn w:val="70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00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01" w:customStyle="1">
    <w:name w:val="Основной текст Знак"/>
    <w:basedOn w:val="700"/>
    <w:semiHidden/>
    <w:qFormat/>
    <w:pPr>
      <w:pBdr/>
      <w:spacing/>
      <w:ind/>
    </w:pPr>
    <w:rPr>
      <w:rFonts w:ascii="Times New Roman" w:hAnsi="Times New Roman" w:eastAsia="Times New Roman" w:cs="Times New Roman"/>
      <w:sz w:val="28"/>
      <w:szCs w:val="20"/>
    </w:rPr>
  </w:style>
  <w:style w:type="character" w:styleId="702" w:customStyle="1">
    <w:name w:val="Текст выноски Знак"/>
    <w:basedOn w:val="700"/>
    <w:link w:val="733"/>
    <w:uiPriority w:val="99"/>
    <w:semiHidden/>
    <w:qFormat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703" w:customStyle="1">
    <w:name w:val="Заголовок"/>
    <w:basedOn w:val="660"/>
    <w:next w:val="704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704">
    <w:name w:val="Body Text"/>
    <w:basedOn w:val="660"/>
    <w:link w:val="701"/>
    <w:semiHidden/>
    <w:unhideWhenUsed/>
    <w:pPr>
      <w:pBdr/>
      <w:spacing w:after="0" w:before="0" w:line="240" w:lineRule="auto"/>
      <w:ind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705">
    <w:name w:val="List"/>
    <w:basedOn w:val="704"/>
    <w:pPr>
      <w:pBdr/>
      <w:spacing/>
      <w:ind/>
    </w:pPr>
    <w:rPr>
      <w:rFonts w:cs="Lucida Sans"/>
    </w:rPr>
  </w:style>
  <w:style w:type="paragraph" w:styleId="706">
    <w:name w:val="Caption"/>
    <w:basedOn w:val="660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707">
    <w:name w:val="Указатель"/>
    <w:basedOn w:val="660"/>
    <w:qFormat/>
    <w:pPr>
      <w:suppressLineNumbers w:val="true"/>
      <w:pBdr/>
      <w:spacing/>
      <w:ind/>
    </w:pPr>
    <w:rPr>
      <w:rFonts w:cs="Lucida Sans"/>
    </w:rPr>
  </w:style>
  <w:style w:type="paragraph" w:styleId="708">
    <w:name w:val="Title"/>
    <w:basedOn w:val="660"/>
    <w:next w:val="660"/>
    <w:link w:val="679"/>
    <w:uiPriority w:val="10"/>
    <w:qFormat/>
    <w:pPr>
      <w:pBdr/>
      <w:spacing w:after="80" w:before="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paragraph" w:styleId="709">
    <w:name w:val="Subtitle"/>
    <w:basedOn w:val="660"/>
    <w:next w:val="660"/>
    <w:link w:val="680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710">
    <w:name w:val="Quote"/>
    <w:basedOn w:val="660"/>
    <w:next w:val="660"/>
    <w:link w:val="681"/>
    <w:uiPriority w:val="29"/>
    <w:qFormat/>
    <w:pPr>
      <w:pBdr/>
      <w:spacing w:after="0" w:before="160"/>
      <w:ind/>
      <w:jc w:val="center"/>
    </w:pPr>
    <w:rPr>
      <w:i/>
      <w:iCs/>
      <w:color w:val="404040" w:themeColor="text1" w:themeTint="BF"/>
    </w:rPr>
  </w:style>
  <w:style w:type="paragraph" w:styleId="711">
    <w:name w:val="List Paragraph"/>
    <w:basedOn w:val="660"/>
    <w:uiPriority w:val="34"/>
    <w:qFormat/>
    <w:pPr>
      <w:pBdr/>
      <w:spacing w:after="0" w:before="0"/>
      <w:ind w:left="720"/>
      <w:contextualSpacing w:val="true"/>
    </w:pPr>
  </w:style>
  <w:style w:type="paragraph" w:styleId="712">
    <w:name w:val="Intense Quote"/>
    <w:basedOn w:val="660"/>
    <w:next w:val="660"/>
    <w:link w:val="68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paragraph" w:styleId="713">
    <w:name w:val="Колонтитул"/>
    <w:basedOn w:val="660"/>
    <w:qFormat/>
    <w:pPr>
      <w:pBdr/>
      <w:spacing/>
      <w:ind/>
    </w:pPr>
  </w:style>
  <w:style w:type="paragraph" w:styleId="714">
    <w:name w:val="Header"/>
    <w:basedOn w:val="660"/>
    <w:link w:val="690"/>
    <w:uiPriority w:val="99"/>
    <w:unhideWhenUsed/>
    <w:pPr>
      <w:pBdr/>
      <w:tabs>
        <w:tab w:val="clear" w:leader="none" w:pos="708"/>
        <w:tab w:val="center" w:leader="none" w:pos="4844"/>
        <w:tab w:val="right" w:leader="none" w:pos="9689"/>
      </w:tabs>
      <w:spacing w:after="0" w:before="0" w:line="240" w:lineRule="auto"/>
      <w:ind/>
    </w:pPr>
  </w:style>
  <w:style w:type="paragraph" w:styleId="715">
    <w:name w:val="Footer"/>
    <w:basedOn w:val="660"/>
    <w:link w:val="691"/>
    <w:uiPriority w:val="99"/>
    <w:unhideWhenUsed/>
    <w:pPr>
      <w:pBdr/>
      <w:tabs>
        <w:tab w:val="clear" w:leader="none" w:pos="708"/>
        <w:tab w:val="center" w:leader="none" w:pos="4844"/>
        <w:tab w:val="right" w:leader="none" w:pos="9689"/>
      </w:tabs>
      <w:spacing w:after="0" w:before="0" w:line="240" w:lineRule="auto"/>
      <w:ind/>
    </w:pPr>
  </w:style>
  <w:style w:type="paragraph" w:styleId="716">
    <w:name w:val="footnote text"/>
    <w:basedOn w:val="660"/>
    <w:link w:val="692"/>
    <w:uiPriority w:val="99"/>
    <w:semiHidden/>
    <w:unhideWhenUsed/>
    <w:pPr>
      <w:pBdr/>
      <w:spacing w:after="0" w:before="0" w:line="240" w:lineRule="auto"/>
      <w:ind/>
    </w:pPr>
    <w:rPr>
      <w:sz w:val="20"/>
      <w:szCs w:val="20"/>
    </w:rPr>
  </w:style>
  <w:style w:type="paragraph" w:styleId="717">
    <w:name w:val="endnote text"/>
    <w:basedOn w:val="660"/>
    <w:link w:val="695"/>
    <w:uiPriority w:val="99"/>
    <w:semiHidden/>
    <w:unhideWhenUsed/>
    <w:pPr>
      <w:pBdr/>
      <w:spacing w:after="0" w:before="0" w:line="240" w:lineRule="auto"/>
      <w:ind/>
    </w:pPr>
    <w:rPr>
      <w:sz w:val="20"/>
      <w:szCs w:val="20"/>
    </w:rPr>
  </w:style>
  <w:style w:type="paragraph" w:styleId="718">
    <w:name w:val="toc 1"/>
    <w:basedOn w:val="660"/>
    <w:next w:val="660"/>
    <w:uiPriority w:val="39"/>
    <w:unhideWhenUsed/>
    <w:pPr>
      <w:pBdr/>
      <w:spacing w:after="100" w:before="0"/>
      <w:ind/>
    </w:pPr>
  </w:style>
  <w:style w:type="paragraph" w:styleId="719">
    <w:name w:val="toc 2"/>
    <w:basedOn w:val="660"/>
    <w:next w:val="660"/>
    <w:uiPriority w:val="39"/>
    <w:unhideWhenUsed/>
    <w:pPr>
      <w:pBdr/>
      <w:spacing w:after="100" w:before="0"/>
      <w:ind w:left="220"/>
    </w:pPr>
  </w:style>
  <w:style w:type="paragraph" w:styleId="720">
    <w:name w:val="toc 3"/>
    <w:basedOn w:val="660"/>
    <w:next w:val="660"/>
    <w:uiPriority w:val="39"/>
    <w:unhideWhenUsed/>
    <w:pPr>
      <w:pBdr/>
      <w:spacing w:after="100" w:before="0"/>
      <w:ind w:left="440"/>
    </w:pPr>
  </w:style>
  <w:style w:type="paragraph" w:styleId="721">
    <w:name w:val="toc 4"/>
    <w:basedOn w:val="660"/>
    <w:next w:val="660"/>
    <w:uiPriority w:val="39"/>
    <w:unhideWhenUsed/>
    <w:pPr>
      <w:pBdr/>
      <w:spacing w:after="100" w:before="0"/>
      <w:ind w:left="660"/>
    </w:pPr>
  </w:style>
  <w:style w:type="paragraph" w:styleId="722">
    <w:name w:val="toc 5"/>
    <w:basedOn w:val="660"/>
    <w:next w:val="660"/>
    <w:uiPriority w:val="39"/>
    <w:unhideWhenUsed/>
    <w:pPr>
      <w:pBdr/>
      <w:spacing w:after="100" w:before="0"/>
      <w:ind w:left="880"/>
    </w:pPr>
  </w:style>
  <w:style w:type="paragraph" w:styleId="723">
    <w:name w:val="toc 6"/>
    <w:basedOn w:val="660"/>
    <w:next w:val="660"/>
    <w:uiPriority w:val="39"/>
    <w:unhideWhenUsed/>
    <w:pPr>
      <w:pBdr/>
      <w:spacing w:after="100" w:before="0"/>
      <w:ind w:left="1100"/>
    </w:pPr>
  </w:style>
  <w:style w:type="paragraph" w:styleId="724">
    <w:name w:val="toc 7"/>
    <w:basedOn w:val="660"/>
    <w:next w:val="660"/>
    <w:uiPriority w:val="39"/>
    <w:unhideWhenUsed/>
    <w:pPr>
      <w:pBdr/>
      <w:spacing w:after="100" w:before="0"/>
      <w:ind w:left="1320"/>
    </w:pPr>
  </w:style>
  <w:style w:type="paragraph" w:styleId="725">
    <w:name w:val="toc 8"/>
    <w:basedOn w:val="660"/>
    <w:next w:val="660"/>
    <w:uiPriority w:val="39"/>
    <w:unhideWhenUsed/>
    <w:pPr>
      <w:pBdr/>
      <w:spacing w:after="100" w:before="0"/>
      <w:ind w:left="1540"/>
    </w:pPr>
  </w:style>
  <w:style w:type="paragraph" w:styleId="726">
    <w:name w:val="toc 9"/>
    <w:basedOn w:val="660"/>
    <w:next w:val="660"/>
    <w:uiPriority w:val="39"/>
    <w:unhideWhenUsed/>
    <w:pPr>
      <w:pBdr/>
      <w:spacing w:after="100" w:before="0"/>
      <w:ind w:left="1760"/>
    </w:pPr>
  </w:style>
  <w:style w:type="paragraph" w:styleId="727">
    <w:name w:val="Index Heading"/>
    <w:basedOn w:val="703"/>
    <w:pPr>
      <w:pBdr/>
      <w:spacing/>
      <w:ind/>
    </w:pPr>
  </w:style>
  <w:style w:type="paragraph" w:styleId="728">
    <w:name w:val="TOC Heading"/>
    <w:uiPriority w:val="39"/>
    <w:unhideWhenUsed/>
    <w:qFormat/>
    <w:pPr>
      <w:widowControl w:val="true"/>
      <w:pBdr/>
      <w:bidi w:val="false"/>
      <w:spacing w:after="0" w:before="0"/>
      <w:ind/>
      <w:jc w:val="left"/>
    </w:pPr>
    <w:rPr>
      <w:rFonts w:ascii="Calibri" w:hAnsi="Calibri" w:eastAsia="Arial" w:cs="Arial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729">
    <w:name w:val="table of figures"/>
    <w:basedOn w:val="660"/>
    <w:next w:val="660"/>
    <w:uiPriority w:val="99"/>
    <w:unhideWhenUsed/>
    <w:pPr>
      <w:pBdr/>
      <w:spacing w:after="0" w:afterAutospacing="0" w:before="0"/>
      <w:ind/>
    </w:pPr>
  </w:style>
  <w:style w:type="paragraph" w:styleId="730">
    <w:name w:val="index heading1"/>
    <w:basedOn w:val="660"/>
    <w:qFormat/>
    <w:pPr>
      <w:suppressLineNumbers w:val="true"/>
      <w:pBdr/>
      <w:spacing/>
      <w:ind/>
    </w:pPr>
    <w:rPr>
      <w:rFonts w:cs="Lucida Sans"/>
    </w:rPr>
  </w:style>
  <w:style w:type="paragraph" w:styleId="731" w:customStyle="1">
    <w:name w:val="caption1"/>
    <w:basedOn w:val="660"/>
    <w:semiHidden/>
    <w:unhideWhenUsed/>
    <w:qFormat/>
    <w:pPr>
      <w:pBdr/>
      <w:spacing w:after="0" w:before="0" w:line="240" w:lineRule="auto"/>
      <w:ind/>
      <w:jc w:val="center"/>
    </w:pPr>
    <w:rPr>
      <w:rFonts w:ascii="Times New Roman" w:hAnsi="Times New Roman" w:eastAsia="Times New Roman" w:cs="Times New Roman"/>
      <w:b/>
      <w:sz w:val="32"/>
      <w:szCs w:val="20"/>
    </w:rPr>
  </w:style>
  <w:style w:type="paragraph" w:styleId="732" w:customStyle="1">
    <w:name w:val="ConsPlusTitle"/>
    <w:qFormat/>
    <w:pPr>
      <w:widowControl w:val="false"/>
      <w:pBdr/>
      <w:bidi w:val="false"/>
      <w:spacing w:after="0" w:before="0"/>
      <w:ind/>
      <w:jc w:val="left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ru-RU" w:bidi="ar-SA"/>
    </w:rPr>
  </w:style>
  <w:style w:type="paragraph" w:styleId="733">
    <w:name w:val="Balloon Text"/>
    <w:basedOn w:val="660"/>
    <w:link w:val="702"/>
    <w:uiPriority w:val="99"/>
    <w:semiHidden/>
    <w:unhideWhenUsed/>
    <w:qFormat/>
    <w:pPr>
      <w:pBdr/>
      <w:spacing w:after="0" w:before="0" w:line="240" w:lineRule="auto"/>
      <w:ind/>
    </w:pPr>
    <w:rPr>
      <w:rFonts w:ascii="Segoe UI" w:hAnsi="Segoe UI" w:cs="Segoe UI"/>
      <w:sz w:val="18"/>
      <w:szCs w:val="18"/>
    </w:rPr>
  </w:style>
  <w:style w:type="paragraph" w:styleId="734">
    <w:name w:val="No Spacing"/>
    <w:uiPriority w:val="1"/>
    <w:qFormat/>
    <w:pPr>
      <w:widowControl w:val="true"/>
      <w:pBdr/>
      <w:bidi w:val="false"/>
      <w:spacing w:after="0" w:before="0"/>
      <w:ind/>
      <w:jc w:val="left"/>
    </w:pPr>
    <w:rPr>
      <w:rFonts w:ascii="Calibri" w:hAnsi="Calibri" w:eastAsia="Arial" w:cs="Arial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735" w:customStyle="1">
    <w:name w:val="ConsPlusNormal"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numbering" w:styleId="736" w:default="1">
    <w:name w:val="No List"/>
    <w:uiPriority w:val="99"/>
    <w:semiHidden/>
    <w:unhideWhenUsed/>
    <w:qFormat/>
    <w:pPr>
      <w:pBdr/>
      <w:spacing/>
      <w:ind/>
    </w:pPr>
  </w:style>
  <w:style w:type="table" w:styleId="737">
    <w:name w:val="Table Grid Light"/>
    <w:basedOn w:val="862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1"/>
    <w:basedOn w:val="862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2"/>
    <w:basedOn w:val="86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1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2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3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4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5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6"/>
    <w:basedOn w:val="86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5f2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3d69c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92cddd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ac091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3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3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6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8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eaf1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5d1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8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3dd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bf1d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a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1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2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3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4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5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6"/>
    <w:basedOn w:val="86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default="1">
    <w:name w:val="Normal Table"/>
    <w:uiPriority w:val="99"/>
    <w:semiHidden/>
    <w:unhideWhenUsed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Table Grid"/>
    <w:basedOn w:val="862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75A62-3203-4F80-810C-6749A66D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revision>219</cp:revision>
  <dcterms:created xsi:type="dcterms:W3CDTF">2020-05-21T11:33:00Z</dcterms:created>
  <dcterms:modified xsi:type="dcterms:W3CDTF">2025-01-15T13:18:22Z</dcterms:modified>
</cp:coreProperties>
</file>